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522AD" w14:paraId="5EB5BC14" w14:textId="77777777">
      <w:pPr>
        <w:pStyle w:val="Heading1"/>
        <w:bidi w:val="0"/>
      </w:pPr>
      <w:bookmarkStart w:id="0" w:name="_heading=h.pe8bytscesl" w:colFirst="0" w:colLast="0"/>
      <w:bookmarkEnd w:id="0"/>
      <w:r>
        <w:rPr>
          <w:rtl w:val="0"/>
          <w:lang w:val="es"/>
        </w:rPr>
        <w:t>PUNTOS DE DISCUSIÓN</w:t>
      </w:r>
    </w:p>
    <w:p w:rsidR="004522AD" w14:paraId="5EB5BC15" w14:textId="77777777">
      <w:pPr>
        <w:pStyle w:val="Heading2"/>
        <w:bidi w:val="0"/>
      </w:pPr>
      <w:bookmarkStart w:id="1" w:name="_heading=h.5ljz33ou6v2q" w:colFirst="0" w:colLast="0"/>
      <w:bookmarkEnd w:id="1"/>
      <w:r>
        <w:rPr>
          <w:rtl w:val="0"/>
          <w:lang w:val="es"/>
        </w:rPr>
        <w:t>Resumen</w:t>
      </w:r>
    </w:p>
    <w:p w:rsidR="004522AD" w:rsidP="00AA52AF" w14:paraId="5EB5BC16" w14:textId="631C9AB1">
      <w:pPr>
        <w:bidi w:val="0"/>
      </w:pPr>
      <w:r>
        <w:rPr>
          <w:rtl w:val="0"/>
          <w:lang w:val="es"/>
        </w:rPr>
        <w:t>Los siguientes puntos de discusión se han creado para ayudarlo a dar a conocer y compartir información sobre la Ley CARE en su condado. La Ley CARE es compleja; sin embargo, este contenido pretende ser de alto nivel para hablar de forma breve y consistente sobre la Ley CARE con diversas audiencias. También puede utilizar esta información para añadir contenido a su sitio web, crear una hoja informativa localizada, etc.</w:t>
      </w:r>
    </w:p>
    <w:p w:rsidR="004522AD" w14:paraId="5EB5BC18" w14:textId="77777777">
      <w:pPr>
        <w:bidi w:val="0"/>
        <w:rPr>
          <w:b/>
          <w:color w:val="306E8D"/>
          <w:sz w:val="36"/>
          <w:szCs w:val="36"/>
        </w:rPr>
      </w:pPr>
      <w:r>
        <w:rPr>
          <w:b/>
          <w:color w:val="306E8D"/>
          <w:sz w:val="36"/>
          <w:szCs w:val="36"/>
          <w:rtl w:val="0"/>
          <w:lang w:val="es"/>
        </w:rPr>
        <w:t>Recursos</w:t>
      </w:r>
    </w:p>
    <w:p w:rsidR="004522AD" w:rsidP="00AA52AF" w14:paraId="5EB5BC19" w14:textId="56D54F50">
      <w:pPr>
        <w:bidi w:val="0"/>
      </w:pPr>
      <w:r>
        <w:rPr>
          <w:rtl w:val="0"/>
          <w:lang w:val="es"/>
        </w:rPr>
        <w:t xml:space="preserve">Lo animamos a que use las </w:t>
      </w:r>
      <w:hyperlink r:id="rId8" w:history="1">
        <w:r w:rsidRPr="002C58ED">
          <w:rPr>
            <w:rStyle w:val="Hyperlink"/>
            <w:rtl w:val="0"/>
            <w:lang w:val="es"/>
          </w:rPr>
          <w:t>Herramientas de Comunicación de la Ley CARE para Condados</w:t>
        </w:r>
      </w:hyperlink>
      <w:r>
        <w:rPr>
          <w:rtl w:val="0"/>
          <w:lang w:val="es"/>
        </w:rPr>
        <w:t xml:space="preserve"> para obtener recomendaciones de comunicación estratégica, mejores prácticas y recursos para apoyar sus esfuerzos. </w:t>
      </w:r>
    </w:p>
    <w:p w:rsidR="003F76BC" w:rsidP="00AA52AF" w14:paraId="65E2C386" w14:textId="63EE621B">
      <w:pPr>
        <w:bidi w:val="0"/>
      </w:pPr>
      <w:r>
        <w:rPr>
          <w:rtl w:val="0"/>
          <w:lang w:val="es"/>
        </w:rPr>
        <w:t xml:space="preserve">Los materiales del </w:t>
      </w:r>
      <w:hyperlink r:id="rId9" w:history="1">
        <w:r w:rsidRPr="002843EC">
          <w:rPr>
            <w:rStyle w:val="Hyperlink"/>
            <w:rtl w:val="0"/>
            <w:lang w:val="es"/>
          </w:rPr>
          <w:t>Centro de Recursos de la Ley CARE</w:t>
        </w:r>
      </w:hyperlink>
      <w:r>
        <w:rPr>
          <w:rtl w:val="0"/>
          <w:lang w:val="es"/>
        </w:rPr>
        <w:t xml:space="preserve"> pueden proporcionar apoyo a medida que responde preguntas básicas:</w:t>
      </w:r>
    </w:p>
    <w:p w:rsidR="00F67C9C" w:rsidP="00094ABA" w14:paraId="7D86F142" w14:textId="4B3F3833">
      <w:pPr>
        <w:pStyle w:val="ListParagraph"/>
        <w:numPr>
          <w:ilvl w:val="0"/>
          <w:numId w:val="6"/>
        </w:numPr>
        <w:bidi w:val="0"/>
      </w:pPr>
      <w:hyperlink r:id="rId10" w:history="1">
        <w:r w:rsidRPr="41753C7F">
          <w:rPr>
            <w:rStyle w:val="Hyperlink"/>
            <w:bCs/>
            <w:rtl w:val="0"/>
            <w:lang w:val="es"/>
          </w:rPr>
          <w:t>Preguntas Frecuentes</w:t>
        </w:r>
      </w:hyperlink>
      <w:r>
        <w:rPr>
          <w:rtl w:val="0"/>
          <w:lang w:val="es"/>
        </w:rPr>
        <w:t xml:space="preserve"> (sitio web)</w:t>
      </w:r>
    </w:p>
    <w:p w:rsidR="00094ABA" w:rsidP="00094ABA" w14:paraId="2339CAC5" w14:textId="24521F49">
      <w:pPr>
        <w:pStyle w:val="ListParagraph"/>
        <w:numPr>
          <w:ilvl w:val="0"/>
          <w:numId w:val="6"/>
        </w:numPr>
        <w:bidi w:val="0"/>
      </w:pPr>
      <w:hyperlink r:id="rId11" w:history="1">
        <w:r w:rsidRPr="00094ABA">
          <w:rPr>
            <w:rStyle w:val="Hyperlink"/>
            <w:rtl w:val="0"/>
            <w:lang w:val="es"/>
          </w:rPr>
          <w:t>Un vistazo a la Ley CARE</w:t>
        </w:r>
      </w:hyperlink>
      <w:r>
        <w:rPr>
          <w:rtl w:val="0"/>
          <w:lang w:val="es"/>
        </w:rPr>
        <w:t xml:space="preserve"> (informe)</w:t>
      </w:r>
    </w:p>
    <w:p w:rsidR="007D7C00" w:rsidP="00094ABA" w14:paraId="2BAD697B" w14:textId="16650246">
      <w:pPr>
        <w:pStyle w:val="ListParagraph"/>
        <w:numPr>
          <w:ilvl w:val="0"/>
          <w:numId w:val="6"/>
        </w:numPr>
        <w:bidi w:val="0"/>
      </w:pPr>
      <w:hyperlink r:id="rId12" w:history="1">
        <w:r w:rsidRPr="5F7E48AD">
          <w:rPr>
            <w:rStyle w:val="Hyperlink"/>
            <w:rtl w:val="0"/>
            <w:lang w:val="es"/>
          </w:rPr>
          <w:t>Flujo del Proceso CARE</w:t>
        </w:r>
      </w:hyperlink>
      <w:r>
        <w:rPr>
          <w:rtl w:val="0"/>
          <w:lang w:val="es"/>
        </w:rPr>
        <w:t xml:space="preserve"> (informe)</w:t>
      </w:r>
    </w:p>
    <w:p w:rsidR="002927D6" w:rsidP="00094ABA" w14:paraId="04A00FA0" w14:textId="60CB73A4">
      <w:pPr>
        <w:pStyle w:val="ListParagraph"/>
        <w:numPr>
          <w:ilvl w:val="0"/>
          <w:numId w:val="6"/>
        </w:numPr>
        <w:bidi w:val="0"/>
      </w:pPr>
      <w:hyperlink r:id="rId13" w:history="1">
        <w:r w:rsidRPr="002927D6">
          <w:rPr>
            <w:rStyle w:val="Hyperlink"/>
            <w:rtl w:val="0"/>
            <w:lang w:val="es"/>
          </w:rPr>
          <w:t>Hoja Informativa sobre los Criterios de Elegibilidad de la Ley CARE</w:t>
        </w:r>
      </w:hyperlink>
      <w:r>
        <w:rPr>
          <w:rtl w:val="0"/>
          <w:lang w:val="es"/>
        </w:rPr>
        <w:t xml:space="preserve"> (informe)</w:t>
      </w:r>
    </w:p>
    <w:p w:rsidR="002927D6" w:rsidP="00094ABA" w14:paraId="081A2C71" w14:textId="032F7181">
      <w:pPr>
        <w:pStyle w:val="ListParagraph"/>
        <w:numPr>
          <w:ilvl w:val="0"/>
          <w:numId w:val="6"/>
        </w:numPr>
        <w:bidi w:val="0"/>
      </w:pPr>
      <w:hyperlink r:id="rId14" w:history="1">
        <w:r w:rsidRPr="000E5F08">
          <w:rPr>
            <w:rStyle w:val="Hyperlink"/>
            <w:rtl w:val="0"/>
            <w:lang w:val="es"/>
          </w:rPr>
          <w:t>Herramientas Para Colaboradores Voluntarios</w:t>
        </w:r>
      </w:hyperlink>
      <w:r w:rsidR="000E5F08">
        <w:rPr>
          <w:rtl w:val="0"/>
          <w:lang w:val="es"/>
        </w:rPr>
        <w:t xml:space="preserve"> (herramientas)</w:t>
      </w:r>
    </w:p>
    <w:p w:rsidR="000E5F08" w14:paraId="0AB971E1" w14:textId="77777777">
      <w:pPr>
        <w:spacing w:after="160"/>
        <w:rPr>
          <w:b/>
          <w:color w:val="306E8D"/>
          <w:sz w:val="36"/>
          <w:szCs w:val="36"/>
        </w:rPr>
      </w:pPr>
      <w:r>
        <w:rPr>
          <w:b/>
          <w:color w:val="306E8D"/>
          <w:sz w:val="36"/>
          <w:szCs w:val="36"/>
        </w:rPr>
        <w:br w:type="page"/>
      </w:r>
    </w:p>
    <w:p w:rsidR="004522AD" w14:paraId="5EB5BC1B" w14:textId="217D9093">
      <w:pPr>
        <w:bidi w:val="0"/>
        <w:rPr>
          <w:rFonts w:ascii="Arial" w:eastAsia="Arial" w:hAnsi="Arial" w:cs="Arial"/>
          <w:color w:val="245D38"/>
          <w:sz w:val="22"/>
        </w:rPr>
      </w:pPr>
      <w:r>
        <w:rPr>
          <w:b/>
          <w:color w:val="306E8D"/>
          <w:sz w:val="36"/>
          <w:szCs w:val="36"/>
          <w:rtl w:val="0"/>
          <w:lang w:val="es"/>
        </w:rPr>
        <w:t>Preguntas Frecuentes</w:t>
      </w:r>
    </w:p>
    <w:p w:rsidR="004522AD" w:rsidRPr="005253E3" w:rsidP="005253E3" w14:paraId="5EB5BC1C" w14:textId="77777777">
      <w:pPr>
        <w:pStyle w:val="Heading3"/>
        <w:bidi w:val="0"/>
      </w:pPr>
      <w:bookmarkStart w:id="2" w:name="_heading=h.3o72g287zp47" w:colFirst="0" w:colLast="0"/>
      <w:bookmarkEnd w:id="2"/>
      <w:r w:rsidRPr="005253E3">
        <w:rPr>
          <w:rtl w:val="0"/>
          <w:lang w:val="es"/>
        </w:rPr>
        <w:t>¿QUÉ ES LA LEY CARE?</w:t>
      </w:r>
    </w:p>
    <w:p w:rsidR="004522AD" w:rsidP="00AA52AF" w14:paraId="5EB5BC1D" w14:textId="1C1291FC">
      <w:pPr>
        <w:bidi w:val="0"/>
        <w:rPr>
          <w:color w:val="FF0000"/>
        </w:rPr>
      </w:pPr>
      <w:r>
        <w:rPr>
          <w:rtl w:val="0"/>
          <w:lang w:val="es"/>
        </w:rPr>
        <w:t xml:space="preserve">La Ley de Asistencia Comunitaria, Recuperación y Empoderamiento (CARE) es un nuevo proceso judicial civil. Proporciona servicios de salud mental basados en la comunidad a adultos con trastornos del espectro de la esquizofrenia u otros trastornos psicóticos no tratados. El proceso CARE conecta a las personas elegibles con servicios de apoyo para su recuperación, </w:t>
      </w:r>
      <w:r w:rsidRPr="26337D5E" w:rsidR="00357EDE">
        <w:rPr>
          <w:rFonts w:cs="Segoe UI"/>
          <w:color w:val="000000" w:themeColor="text1"/>
          <w:rtl w:val="0"/>
          <w:lang w:val="es"/>
        </w:rPr>
        <w:t>que pueden incluir</w:t>
      </w:r>
      <w:r>
        <w:rPr>
          <w:rtl w:val="0"/>
          <w:lang w:val="es"/>
        </w:rPr>
        <w:t xml:space="preserve"> tratamiento, vivienda y apoyo comunitario. </w:t>
      </w:r>
    </w:p>
    <w:p w:rsidR="004522AD" w:rsidP="005253E3" w14:paraId="5EB5BC20" w14:textId="77777777">
      <w:pPr>
        <w:pStyle w:val="Heading3"/>
        <w:bidi w:val="0"/>
      </w:pPr>
      <w:bookmarkStart w:id="3" w:name="_heading=h.og1q5bdyhb2x" w:colFirst="0" w:colLast="0"/>
      <w:bookmarkStart w:id="4" w:name="_heading=h.cibrs33k1mx" w:colFirst="0" w:colLast="0"/>
      <w:bookmarkEnd w:id="3"/>
      <w:bookmarkEnd w:id="4"/>
      <w:r w:rsidRPr="009A73D6">
        <w:rPr>
          <w:rtl w:val="0"/>
          <w:lang w:val="es"/>
        </w:rPr>
        <w:t>¿CUÁLES SON LOS OBJETIVOS DE LA LEY CARE?</w:t>
      </w:r>
    </w:p>
    <w:p w:rsidR="00AA52AF" w:rsidRPr="00AA52AF" w:rsidP="00AA52AF" w14:paraId="3170DC27" w14:textId="72765684">
      <w:pPr>
        <w:bidi w:val="0"/>
      </w:pPr>
      <w:r w:rsidRPr="00AA52AF">
        <w:rPr>
          <w:highlight w:val="yellow"/>
          <w:rtl w:val="0"/>
          <w:lang w:val="es"/>
        </w:rPr>
        <w:t>[Tenga en cuenta que se trata de un menú de objetivos que puede adaptarse según el público al que se dirijan los esfuerzos de comunicación].</w:t>
      </w:r>
    </w:p>
    <w:p w:rsidR="004522AD" w14:paraId="5EB5BC21" w14:textId="6038D749">
      <w:pPr>
        <w:bidi w:val="0"/>
      </w:pPr>
      <w:r>
        <w:rPr>
          <w:rtl w:val="0"/>
          <w:lang w:val="es"/>
        </w:rPr>
        <w:t xml:space="preserve">La Ley CARE apoya un camino autodeterminado hacia la recuperación. </w:t>
      </w:r>
    </w:p>
    <w:p w:rsidR="00261EDF" w:rsidP="00261EDF" w14:paraId="228B3972" w14:textId="4E206577">
      <w:pPr>
        <w:numPr>
          <w:ilvl w:val="0"/>
          <w:numId w:val="7"/>
        </w:numPr>
        <w:bidi w:val="0"/>
        <w:spacing w:before="100" w:beforeAutospacing="1" w:after="100" w:afterAutospacing="1" w:line="240" w:lineRule="auto"/>
      </w:pPr>
      <w:r>
        <w:rPr>
          <w:rtl w:val="0"/>
          <w:lang w:val="es"/>
        </w:rPr>
        <w:t xml:space="preserve">CARE pretende ser un nuevo proceso que pueda ser apoyado y atendido por los programas existentes. </w:t>
      </w:r>
    </w:p>
    <w:p w:rsidR="00261EDF" w:rsidP="00261EDF" w14:paraId="52278C6D" w14:textId="3EE7AD9F">
      <w:pPr>
        <w:numPr>
          <w:ilvl w:val="0"/>
          <w:numId w:val="7"/>
        </w:numPr>
        <w:bidi w:val="0"/>
        <w:spacing w:before="100" w:beforeAutospacing="1" w:after="100" w:afterAutospacing="1" w:line="240" w:lineRule="auto"/>
      </w:pPr>
      <w:r>
        <w:rPr>
          <w:rtl w:val="0"/>
          <w:lang w:val="es"/>
        </w:rPr>
        <w:t xml:space="preserve">Su objetivo es dar prioridad a los servicios de salud conductual para personas gravemente enfermas y vulnerables, preservando al mismo tiempo la autodeterminación en la mayor medida posible y apoyando a la persona para que adquiera un propósito y un sentido de pertenencia. </w:t>
      </w:r>
    </w:p>
    <w:p w:rsidR="00261EDF" w:rsidP="00261EDF" w14:paraId="52430C69" w14:textId="501DAEC5">
      <w:pPr>
        <w:numPr>
          <w:ilvl w:val="0"/>
          <w:numId w:val="7"/>
        </w:numPr>
        <w:bidi w:val="0"/>
        <w:spacing w:before="100" w:beforeAutospacing="1" w:after="100" w:afterAutospacing="1" w:line="240" w:lineRule="auto"/>
      </w:pPr>
      <w:r>
        <w:rPr>
          <w:rtl w:val="0"/>
          <w:lang w:val="es"/>
        </w:rPr>
        <w:t>CARE es un programa de derivación de proveedores para evitar custodias más restrictivas o el encarcelamiento.</w:t>
      </w:r>
    </w:p>
    <w:p w:rsidR="00261EDF" w:rsidP="00261EDF" w14:paraId="713FF7AD" w14:textId="0068D844">
      <w:pPr>
        <w:numPr>
          <w:ilvl w:val="0"/>
          <w:numId w:val="7"/>
        </w:numPr>
        <w:bidi w:val="0"/>
        <w:spacing w:before="100" w:beforeAutospacing="1" w:after="100" w:afterAutospacing="1" w:line="240" w:lineRule="auto"/>
      </w:pPr>
      <w:r>
        <w:rPr>
          <w:rtl w:val="0"/>
          <w:lang w:val="es"/>
        </w:rPr>
        <w:t xml:space="preserve">CARE responsabiliza al sistema de salud conductual de atender de forma holística a quienes suelen tener las necesidades de asistencia más complejas. </w:t>
      </w:r>
    </w:p>
    <w:p w:rsidR="00261EDF" w:rsidP="00261EDF" w14:paraId="3E0D9864" w14:textId="655E8C44">
      <w:pPr>
        <w:numPr>
          <w:ilvl w:val="0"/>
          <w:numId w:val="7"/>
        </w:numPr>
        <w:bidi w:val="0"/>
        <w:spacing w:before="100" w:beforeAutospacing="1" w:after="100" w:afterAutospacing="1" w:line="240" w:lineRule="auto"/>
      </w:pPr>
      <w:r>
        <w:rPr>
          <w:rtl w:val="0"/>
          <w:lang w:val="es"/>
        </w:rPr>
        <w:t>Proporciona una vía para que las personas se estabilicen, empiecen a curarse y salgan de la indigencia.</w:t>
      </w:r>
    </w:p>
    <w:p w:rsidR="004522AD" w:rsidRPr="009A73D6" w:rsidP="005253E3" w14:paraId="5EB5BC26" w14:textId="77777777">
      <w:pPr>
        <w:pStyle w:val="Heading3"/>
        <w:bidi w:val="0"/>
      </w:pPr>
      <w:r w:rsidRPr="009A73D6">
        <w:rPr>
          <w:rtl w:val="0"/>
          <w:lang w:val="es"/>
        </w:rPr>
        <w:t>¿QUIÉN ES ELEGIBLE PARA LA LEY CARE?</w:t>
      </w:r>
    </w:p>
    <w:p w:rsidR="004522AD" w:rsidP="00AA52AF" w14:paraId="5EB5BC28" w14:textId="554A0866">
      <w:pPr>
        <w:bidi w:val="0"/>
      </w:pPr>
      <w:r>
        <w:rPr>
          <w:rtl w:val="0"/>
          <w:lang w:val="es"/>
        </w:rPr>
        <w:t xml:space="preserve">La elegibilidad se determina según el caso. La indigencia y las enfermedades mentales no son los únicos criterios de elegibilidad. Algunos de los criterios incluyen: </w:t>
      </w:r>
    </w:p>
    <w:p w:rsidR="004522AD" w14:paraId="5EB5BC29" w14:textId="082E6F0F">
      <w:pPr>
        <w:numPr>
          <w:ilvl w:val="0"/>
          <w:numId w:val="1"/>
        </w:numPr>
        <w:pBdr>
          <w:top w:val="nil"/>
          <w:left w:val="nil"/>
          <w:bottom w:val="nil"/>
          <w:right w:val="nil"/>
          <w:between w:val="nil"/>
        </w:pBdr>
        <w:bidi w:val="0"/>
        <w:spacing w:after="0"/>
      </w:pPr>
      <w:r>
        <w:rPr>
          <w:rtl w:val="0"/>
          <w:lang w:val="es"/>
        </w:rPr>
        <w:t xml:space="preserve">Tener 18 años o más. </w:t>
      </w:r>
    </w:p>
    <w:p w:rsidR="004522AD" w:rsidP="00D05C15" w14:paraId="5EB5BC2A" w14:textId="2E266906">
      <w:pPr>
        <w:numPr>
          <w:ilvl w:val="0"/>
          <w:numId w:val="1"/>
        </w:numPr>
        <w:pBdr>
          <w:top w:val="nil"/>
          <w:left w:val="nil"/>
          <w:bottom w:val="nil"/>
          <w:right w:val="nil"/>
          <w:between w:val="nil"/>
        </w:pBdr>
        <w:bidi w:val="0"/>
        <w:spacing w:after="0"/>
      </w:pPr>
      <w:r>
        <w:rPr>
          <w:rtl w:val="0"/>
          <w:lang w:val="es"/>
        </w:rPr>
        <w:t xml:space="preserve">Tener un diagnóstico de un trastorno del espectro de la esquizofrenia u otros trastornos psicóticos. </w:t>
      </w:r>
    </w:p>
    <w:p w:rsidR="004522AD" w14:paraId="5EB5BC2B" w14:textId="2AD03F58">
      <w:pPr>
        <w:numPr>
          <w:ilvl w:val="0"/>
          <w:numId w:val="1"/>
        </w:numPr>
        <w:pBdr>
          <w:top w:val="nil"/>
          <w:left w:val="nil"/>
          <w:bottom w:val="nil"/>
          <w:right w:val="nil"/>
          <w:between w:val="nil"/>
        </w:pBdr>
        <w:bidi w:val="0"/>
        <w:spacing w:after="0"/>
      </w:pPr>
      <w:r>
        <w:rPr>
          <w:rtl w:val="0"/>
          <w:lang w:val="es"/>
        </w:rPr>
        <w:t>La enfermedad mental debe ser grave, persistente e interferir significativamente en las actividades de la vida diaria.</w:t>
      </w:r>
    </w:p>
    <w:p w:rsidR="004522AD" w14:paraId="5EB5BC2C" w14:textId="121AD5BC">
      <w:pPr>
        <w:numPr>
          <w:ilvl w:val="0"/>
          <w:numId w:val="1"/>
        </w:numPr>
        <w:pBdr>
          <w:top w:val="nil"/>
          <w:left w:val="nil"/>
          <w:bottom w:val="nil"/>
          <w:right w:val="nil"/>
          <w:between w:val="nil"/>
        </w:pBdr>
        <w:bidi w:val="0"/>
        <w:spacing w:after="0"/>
      </w:pPr>
      <w:r>
        <w:rPr>
          <w:rtl w:val="0"/>
          <w:lang w:val="es"/>
        </w:rPr>
        <w:t xml:space="preserve">No estar clínicamente estabilizado con tratamiento voluntario continuo. </w:t>
      </w:r>
    </w:p>
    <w:p w:rsidR="004522AD" w14:paraId="5EB5BC2D" w14:textId="3E22BB47">
      <w:pPr>
        <w:numPr>
          <w:ilvl w:val="0"/>
          <w:numId w:val="1"/>
        </w:numPr>
        <w:pBdr>
          <w:top w:val="nil"/>
          <w:left w:val="nil"/>
          <w:bottom w:val="nil"/>
          <w:right w:val="nil"/>
          <w:between w:val="nil"/>
        </w:pBdr>
        <w:bidi w:val="0"/>
      </w:pPr>
      <w:r>
        <w:rPr>
          <w:rtl w:val="0"/>
          <w:lang w:val="es"/>
        </w:rPr>
        <w:t>CARE debe ser la alternativa menos restrictiva para proporcionar recuperación y estabilidad.</w:t>
      </w:r>
    </w:p>
    <w:p w:rsidR="004377A1" w:rsidP="004377A1" w14:paraId="297D3A67" w14:textId="1B230265">
      <w:pPr>
        <w:bidi w:val="0"/>
      </w:pPr>
      <w:r>
        <w:rPr>
          <w:rtl w:val="0"/>
          <w:lang w:val="es"/>
        </w:rPr>
        <w:t xml:space="preserve">Para más información, consulte la </w:t>
      </w:r>
      <w:hyperlink r:id="rId13" w:history="1">
        <w:r w:rsidRPr="002927D6">
          <w:rPr>
            <w:rStyle w:val="Hyperlink"/>
            <w:rtl w:val="0"/>
            <w:lang w:val="es"/>
          </w:rPr>
          <w:t>Hoja Informativa sobre los Criterios de Elegibilidad de la Ley CARE</w:t>
        </w:r>
      </w:hyperlink>
      <w:r>
        <w:rPr>
          <w:rtl w:val="0"/>
          <w:lang w:val="es"/>
        </w:rPr>
        <w:t xml:space="preserve"> (informe).</w:t>
      </w:r>
    </w:p>
    <w:p w:rsidR="004522AD" w:rsidRPr="009A73D6" w:rsidP="005253E3" w14:paraId="5EB5BC31" w14:textId="77777777">
      <w:pPr>
        <w:pStyle w:val="Heading3"/>
        <w:bidi w:val="0"/>
      </w:pPr>
      <w:bookmarkStart w:id="5" w:name="_heading=h.yh45pghlyx6u" w:colFirst="0" w:colLast="0"/>
      <w:bookmarkStart w:id="6" w:name="_heading=h.dyviqisbln99" w:colFirst="0" w:colLast="0"/>
      <w:bookmarkEnd w:id="5"/>
      <w:bookmarkEnd w:id="6"/>
      <w:r w:rsidRPr="009A73D6">
        <w:rPr>
          <w:rtl w:val="0"/>
          <w:lang w:val="es"/>
        </w:rPr>
        <w:t>¿QUIÉNES PUEDEN PRESENTAR UNA PETICIÓN?</w:t>
      </w:r>
    </w:p>
    <w:p w:rsidR="004522AD" w:rsidP="00AA52AF" w14:paraId="5EB5BC32" w14:textId="32F55EA5">
      <w:pPr>
        <w:bidi w:val="0"/>
      </w:pPr>
      <w:r>
        <w:rPr>
          <w:rtl w:val="0"/>
          <w:lang w:val="es"/>
        </w:rPr>
        <w:t>Una amplia variedad de personas puede solicitar al tribunal que alguien reciba ayuda. Algunos ejemplos incluyen:</w:t>
      </w:r>
    </w:p>
    <w:p w:rsidR="004522AD" w14:paraId="5EB5BC33" w14:textId="681BE09D">
      <w:pPr>
        <w:numPr>
          <w:ilvl w:val="0"/>
          <w:numId w:val="1"/>
        </w:numPr>
        <w:pBdr>
          <w:top w:val="nil"/>
          <w:left w:val="nil"/>
          <w:bottom w:val="nil"/>
          <w:right w:val="nil"/>
          <w:between w:val="nil"/>
        </w:pBdr>
        <w:bidi w:val="0"/>
        <w:spacing w:after="0"/>
      </w:pPr>
      <w:r>
        <w:rPr>
          <w:rtl w:val="0"/>
          <w:lang w:val="es"/>
        </w:rPr>
        <w:t>Miembros de la familia.</w:t>
      </w:r>
    </w:p>
    <w:p w:rsidR="004522AD" w14:paraId="5EB5BC34" w14:textId="0397C124">
      <w:pPr>
        <w:numPr>
          <w:ilvl w:val="0"/>
          <w:numId w:val="1"/>
        </w:numPr>
        <w:pBdr>
          <w:top w:val="nil"/>
          <w:left w:val="nil"/>
          <w:bottom w:val="nil"/>
          <w:right w:val="nil"/>
          <w:between w:val="nil"/>
        </w:pBdr>
        <w:bidi w:val="0"/>
        <w:spacing w:after="0"/>
      </w:pPr>
      <w:r>
        <w:rPr>
          <w:rtl w:val="0"/>
          <w:lang w:val="es"/>
        </w:rPr>
        <w:t>Proveedores de atención médica/asistencia social.</w:t>
      </w:r>
    </w:p>
    <w:p w:rsidR="004522AD" w14:paraId="5EB5BC35" w14:textId="52CAE1CF">
      <w:pPr>
        <w:numPr>
          <w:ilvl w:val="0"/>
          <w:numId w:val="1"/>
        </w:numPr>
        <w:pBdr>
          <w:top w:val="nil"/>
          <w:left w:val="nil"/>
          <w:bottom w:val="nil"/>
          <w:right w:val="nil"/>
          <w:between w:val="nil"/>
        </w:pBdr>
        <w:bidi w:val="0"/>
        <w:spacing w:after="0"/>
      </w:pPr>
      <w:r>
        <w:rPr>
          <w:rtl w:val="0"/>
          <w:lang w:val="es"/>
        </w:rPr>
        <w:t>Socorristas.</w:t>
      </w:r>
    </w:p>
    <w:p w:rsidR="004522AD" w14:paraId="5EB5BC36" w14:textId="4C45AAA6">
      <w:pPr>
        <w:numPr>
          <w:ilvl w:val="0"/>
          <w:numId w:val="1"/>
        </w:numPr>
        <w:pBdr>
          <w:top w:val="nil"/>
          <w:left w:val="nil"/>
          <w:bottom w:val="nil"/>
          <w:right w:val="nil"/>
          <w:between w:val="nil"/>
        </w:pBdr>
        <w:bidi w:val="0"/>
      </w:pPr>
      <w:r>
        <w:rPr>
          <w:rtl w:val="0"/>
          <w:lang w:val="es"/>
        </w:rPr>
        <w:t>Agencias de salud conductual del condado.</w:t>
      </w:r>
    </w:p>
    <w:p w:rsidR="004522AD" w:rsidP="00AA52AF" w14:paraId="5EB5BC37" w14:textId="5AC5352D">
      <w:pPr>
        <w:bidi w:val="0"/>
      </w:pPr>
      <w:r>
        <w:rPr>
          <w:rtl w:val="0"/>
          <w:lang w:val="es"/>
        </w:rPr>
        <w:t xml:space="preserve">Para obtener una lista de los peticionarios elegibles, visite la sección </w:t>
      </w:r>
      <w:hyperlink r:id="rId15" w:history="1">
        <w:r w:rsidRPr="00882F90" w:rsidR="00882F90">
          <w:rPr>
            <w:rStyle w:val="Hyperlink"/>
            <w:rtl w:val="0"/>
            <w:lang w:val="es"/>
          </w:rPr>
          <w:t>Information for CARE Act Petitioners</w:t>
        </w:r>
      </w:hyperlink>
      <w:r>
        <w:rPr>
          <w:rtl w:val="0"/>
          <w:lang w:val="es"/>
        </w:rPr>
        <w:t xml:space="preserve"> (Información para Peticionarios de la Ley CARE) en el sitio web de California Health and Human Services (CalHHS).</w:t>
      </w:r>
    </w:p>
    <w:p w:rsidR="000B68E6" w:rsidRPr="009A73D6" w:rsidP="005253E3" w14:paraId="1DBC0942" w14:textId="77777777">
      <w:pPr>
        <w:pStyle w:val="Heading3"/>
        <w:bidi w:val="0"/>
      </w:pPr>
      <w:r w:rsidRPr="009A73D6">
        <w:rPr>
          <w:rtl w:val="0"/>
          <w:lang w:val="es"/>
        </w:rPr>
        <w:t>¿CÓMO FUNCIONA EL PROCESO CARE?</w:t>
      </w:r>
    </w:p>
    <w:p w:rsidR="000B68E6" w:rsidP="00AA52AF" w14:paraId="51BBFD0C" w14:textId="600663CC">
      <w:pPr>
        <w:bidi w:val="0"/>
      </w:pPr>
      <w:r>
        <w:rPr>
          <w:rtl w:val="0"/>
          <w:lang w:val="es"/>
        </w:rPr>
        <w:t>El proceso CARE empieza con la presentación de una petición. Una revisión del tribunal determinará entonces la elegibilidad. Si es elegible, el tribunal trabajará con el participante y su abogado para crear un acuerdo CARE voluntario o para que el tribunal ordene un plan CARE que lo ponga en contacto con los servicios. Se realizarán audiencias de revisión de estado para evaluar el progreso y los desafíos. Después de 12 meses, el participante puede graduarse del programa, o puede continuar un año más.</w:t>
      </w:r>
    </w:p>
    <w:p w:rsidR="00587A58" w14:paraId="4ED28055" w14:textId="0AACAEE6">
      <w:pPr>
        <w:bidi w:val="0"/>
        <w:spacing w:after="160"/>
      </w:pPr>
      <w:r>
        <w:rPr>
          <w:rtl w:val="0"/>
          <w:lang w:val="es"/>
        </w:rPr>
        <w:t xml:space="preserve">Para más información, vea el </w:t>
      </w:r>
      <w:hyperlink r:id="rId12" w:history="1">
        <w:r w:rsidRPr="5F7E48AD">
          <w:rPr>
            <w:rStyle w:val="Hyperlink"/>
            <w:rtl w:val="0"/>
            <w:lang w:val="es"/>
          </w:rPr>
          <w:t>Flujo del Proceso CARE</w:t>
        </w:r>
      </w:hyperlink>
      <w:r>
        <w:rPr>
          <w:rtl w:val="0"/>
          <w:lang w:val="es"/>
        </w:rPr>
        <w:t xml:space="preserve"> (informe).</w:t>
      </w:r>
    </w:p>
    <w:p w:rsidR="00804692" w:rsidRPr="009A73D6" w:rsidP="005253E3" w14:paraId="6768202E" w14:textId="3B34E6A1">
      <w:pPr>
        <w:pStyle w:val="Heading3"/>
        <w:bidi w:val="0"/>
      </w:pPr>
      <w:r>
        <w:rPr>
          <w:rtl w:val="0"/>
          <w:lang w:val="es"/>
        </w:rPr>
        <w:t>¿CÓMO GARANTIZA CARE LA RESPONSABILIDAD?</w:t>
      </w:r>
    </w:p>
    <w:p w:rsidR="00D149DF" w:rsidP="00AA52AF" w14:paraId="70E3739E" w14:textId="3D0367D1">
      <w:pPr>
        <w:bidi w:val="0"/>
      </w:pPr>
      <w:r>
        <w:rPr>
          <w:rtl w:val="0"/>
          <w:lang w:val="es"/>
        </w:rPr>
        <w:t xml:space="preserve">En CARE, la responsabilidad es bidireccional. Si el demandado no puede completar un plan CARE de forma exitosa, el tribunal puede aplicar las leyes existentes para garantizar su seguridad. La Ley CARE también responsabiliza a los gobiernos locales del uso de las diversas fuentes de financiación disponibles para brindar asistencia a las personas que la necesitan. </w:t>
      </w:r>
    </w:p>
    <w:p w:rsidR="004522AD" w:rsidP="00AA52AF" w14:paraId="5EB5BC43" w14:textId="61C1A35C">
      <w:pPr>
        <w:bidi w:val="0"/>
      </w:pPr>
      <w:r w:rsidRPr="26337D5E">
        <w:rPr>
          <w:b/>
          <w:bCs/>
          <w:color w:val="15315A" w:themeColor="text2"/>
          <w:sz w:val="28"/>
          <w:szCs w:val="28"/>
          <w:rtl w:val="0"/>
          <w:lang w:val="es"/>
        </w:rPr>
        <w:t>¿QUÉ OCURRE DESPUÉS?</w:t>
      </w:r>
      <w:r>
        <w:rPr>
          <w:rtl w:val="0"/>
          <w:lang w:val="es"/>
        </w:rPr>
        <w:t xml:space="preserve"> </w:t>
        <w:br/>
        <w:t xml:space="preserve">Una vez graduado del proceso CARE, el participante continúa siendo elegible para recibir tratamiento continuo, servicios de apoyo y vivienda en la comunidad para incentivar la recuperación a largo plazo. </w:t>
      </w:r>
    </w:p>
    <w:p w:rsidR="004522AD" w14:paraId="5EB5BC4C" w14:textId="77777777">
      <w:pPr>
        <w:spacing w:after="0"/>
      </w:pPr>
    </w:p>
    <w:p w:rsidR="004522AD" w14:paraId="5EB5BC4D" w14:textId="77777777">
      <w:pPr>
        <w:spacing w:after="0"/>
      </w:pPr>
    </w:p>
    <w:p w:rsidR="004522AD" w14:paraId="5EB5BC4E" w14:textId="77777777">
      <w:pPr>
        <w:rPr>
          <w:b/>
          <w:color w:val="306E8D"/>
          <w:sz w:val="36"/>
          <w:szCs w:val="36"/>
        </w:rPr>
      </w:pPr>
    </w:p>
    <w:sectPr>
      <w:headerReference w:type="even" r:id="rId16"/>
      <w:headerReference w:type="default" r:id="rId17"/>
      <w:footerReference w:type="default" r:id="rId18"/>
      <w:headerReference w:type="first" r:id="rId19"/>
      <w:footerReference w:type="first" r:id="rId20"/>
      <w:pgSz w:w="15840" w:h="12240" w:orient="landscape"/>
      <w:pgMar w:top="1440" w:right="1440" w:bottom="1440" w:left="1440" w:header="720" w:footer="54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Yu Gothic UI Semibold">
    <w:charset w:val="80"/>
    <w:family w:val="swiss"/>
    <w:pitch w:val="variable"/>
    <w:sig w:usb0="E00002FF" w:usb1="2AC7FDFF" w:usb2="00000016" w:usb3="00000000" w:csb0="0002009F" w:csb1="00000000"/>
  </w:font>
  <w:font w:name="Quattrocento Sans">
    <w:altName w:val="Calibri"/>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6D" w14:textId="77777777">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tblPr>
    <w:tblGrid>
      <w:gridCol w:w="1530"/>
      <w:gridCol w:w="1805"/>
      <w:gridCol w:w="9720"/>
      <w:gridCol w:w="1440"/>
    </w:tblGrid>
    <w:tr w14:paraId="5EB5BC72" w14:textId="77777777">
      <w:tblPrEx>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tblPrEx>
      <w:trPr>
        <w:cantSplit/>
        <w:trHeight w:val="1084"/>
      </w:trPr>
      <w:tc>
        <w:tcPr>
          <w:tcW w:w="1530" w:type="dxa"/>
          <w:shd w:val="clear" w:color="auto" w:fill="auto"/>
          <w:vAlign w:val="center"/>
        </w:tcPr>
        <w:p w:rsidR="004522AD" w14:paraId="5EB5BC6E" w14:textId="77777777">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color w:val="000000"/>
              <w:szCs w:val="24"/>
            </w:rPr>
          </w:pPr>
        </w:p>
      </w:tc>
      <w:tc>
        <w:tcPr>
          <w:tcW w:w="1805" w:type="dxa"/>
          <w:shd w:val="clear" w:color="auto" w:fill="auto"/>
          <w:vAlign w:val="center"/>
        </w:tcPr>
        <w:p w:rsidR="004522AD" w14:paraId="5EB5BC6F" w14:textId="6E1E7611">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9720" w:type="dxa"/>
          <w:tcBorders>
            <w:right w:val="nil"/>
          </w:tcBorders>
          <w:shd w:val="clear" w:color="auto" w:fill="auto"/>
          <w:vAlign w:val="center"/>
        </w:tcPr>
        <w:p w:rsidR="004522AD" w14:paraId="5EB5BC70" w14:textId="33F2366B">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1440" w:type="dxa"/>
          <w:tcBorders>
            <w:left w:val="nil"/>
            <w:right w:val="nil"/>
          </w:tcBorders>
          <w:shd w:val="clear" w:color="auto" w:fill="auto"/>
          <w:vAlign w:val="center"/>
        </w:tcPr>
        <w:p w:rsidR="004522AD" w14:paraId="5EB5BC71" w14:textId="46701038">
          <w:pPr>
            <w:pBdr>
              <w:top w:val="nil"/>
              <w:left w:val="nil"/>
              <w:bottom w:val="nil"/>
              <w:right w:val="nil"/>
              <w:between w:val="nil"/>
            </w:pBdr>
            <w:tabs>
              <w:tab w:val="center" w:pos="4680"/>
              <w:tab w:val="right" w:pos="9360"/>
            </w:tabs>
            <w:bidi w:val="0"/>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rtl w:val="0"/>
              <w:lang w:val="es"/>
            </w:rPr>
            <w:t xml:space="preserve">Página | </w:t>
          </w:r>
          <w:r>
            <w:rPr>
              <w:color w:val="000000"/>
            </w:rPr>
            <w:fldChar w:fldCharType="begin"/>
          </w:r>
          <w:r>
            <w:rPr>
              <w:rFonts w:ascii="Quattrocento Sans" w:eastAsia="Quattrocento Sans" w:hAnsi="Quattrocento Sans" w:cs="Quattrocento Sans"/>
              <w:color w:val="000000"/>
              <w:szCs w:val="24"/>
              <w:rtl w:val="0"/>
              <w:lang w:val="es"/>
            </w:rPr>
            <w:instrText>PAGE</w:instrText>
          </w:r>
          <w:r>
            <w:rPr>
              <w:color w:val="000000"/>
            </w:rPr>
            <w:fldChar w:fldCharType="separate"/>
          </w:r>
          <w:r>
            <w:rPr>
              <w:rFonts w:ascii="Quattrocento Sans" w:eastAsia="Quattrocento Sans" w:hAnsi="Quattrocento Sans" w:cs="Quattrocento Sans"/>
              <w:color w:val="000000"/>
              <w:szCs w:val="24"/>
              <w:rtl w:val="0"/>
              <w:lang w:val="es"/>
            </w:rPr>
            <w:t>4</w:t>
          </w:r>
          <w:r>
            <w:rPr>
              <w:color w:val="000000"/>
            </w:rPr>
            <w:fldChar w:fldCharType="end"/>
          </w:r>
        </w:p>
      </w:tc>
    </w:tr>
  </w:tbl>
  <w:p w:rsidR="004522AD" w14:paraId="5EB5BC73" w14:textId="77777777">
    <w:pPr>
      <w:pBdr>
        <w:top w:val="nil"/>
        <w:left w:val="nil"/>
        <w:bottom w:val="nil"/>
        <w:right w:val="nil"/>
        <w:between w:val="nil"/>
      </w:pBdr>
      <w:spacing w:after="0" w:line="24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7B" w14:textId="51D9B166">
    <w:pPr>
      <w:pBdr>
        <w:top w:val="nil"/>
        <w:left w:val="nil"/>
        <w:bottom w:val="nil"/>
        <w:right w:val="nil"/>
        <w:between w:val="nil"/>
      </w:pBdr>
      <w:tabs>
        <w:tab w:val="center" w:pos="4680"/>
        <w:tab w:val="right" w:pos="9360"/>
      </w:tabs>
      <w:bidi w:val="0"/>
      <w:spacing w:after="0" w:line="240" w:lineRule="auto"/>
      <w:rPr>
        <w:color w:val="000000"/>
      </w:rPr>
    </w:pPr>
    <w:r>
      <w:rPr>
        <w:rtl w:val="0"/>
        <w:lang w:val="es"/>
      </w:rPr>
      <w:t xml:space="preserve">Mayo de </w:t>
    </w:r>
    <w:r w:rsidR="00053880">
      <w:rPr>
        <w:rFonts w:ascii="Quattrocento Sans" w:eastAsia="Quattrocento Sans" w:hAnsi="Quattrocento Sans" w:cs="Quattrocento Sans"/>
        <w:color w:val="000000"/>
        <w:szCs w:val="24"/>
        <w:rtl w:val="0"/>
        <w:lang w:val="es"/>
      </w:rPr>
      <w:t>2024</w:t>
    </w:r>
  </w:p>
  <w:p w:rsidR="004522AD" w14:paraId="5EB5BC7C"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5F" w14:textId="77777777">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width:467.75pt;height:605.25pt;margin-top:0;margin-left:0;mso-height-percent:0;mso-position-horizontal:center;mso-position-horizontal-relative:margin;mso-position-vertical:center;mso-position-vertical-relative:margin;mso-width-percent:0;mso-wrap-edited:f;position:absolute;z-index:-25165824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60" w14:textId="77777777">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tblPr>
    <w:tblGrid>
      <w:gridCol w:w="885"/>
      <w:gridCol w:w="12080"/>
      <w:gridCol w:w="3630"/>
      <w:gridCol w:w="2340"/>
    </w:tblGrid>
    <w:tr w14:paraId="5EB5BC65" w14:textId="77777777" w:rsidTr="00BD5A98">
      <w:tblPrEx>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tblPrEx>
      <w:trPr>
        <w:cantSplit/>
      </w:trPr>
      <w:tc>
        <w:tcPr>
          <w:tcW w:w="885" w:type="dxa"/>
          <w:tcBorders>
            <w:bottom w:val="single" w:sz="18" w:space="0" w:color="0F2443"/>
          </w:tcBorders>
          <w:shd w:val="clear" w:color="auto" w:fill="auto"/>
          <w:vAlign w:val="center"/>
        </w:tcPr>
        <w:p w:rsidR="004522AD" w14:paraId="5EB5BC61" w14:textId="77777777">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0F2443"/>
              <w:szCs w:val="24"/>
            </w:rPr>
          </w:pPr>
        </w:p>
      </w:tc>
      <w:tc>
        <w:tcPr>
          <w:tcW w:w="12080" w:type="dxa"/>
          <w:tcBorders>
            <w:bottom w:val="single" w:sz="18" w:space="0" w:color="0F2443"/>
          </w:tcBorders>
          <w:shd w:val="clear" w:color="auto" w:fill="auto"/>
          <w:vAlign w:val="center"/>
        </w:tcPr>
        <w:p w:rsidR="004522AD" w:rsidRPr="00BD5A98" w14:paraId="5EB5BC62" w14:textId="77777777">
          <w:pPr>
            <w:pBdr>
              <w:top w:val="nil"/>
              <w:left w:val="nil"/>
              <w:bottom w:val="nil"/>
              <w:right w:val="nil"/>
              <w:between w:val="nil"/>
            </w:pBdr>
            <w:tabs>
              <w:tab w:val="center" w:pos="4680"/>
              <w:tab w:val="right" w:pos="9360"/>
            </w:tabs>
            <w:bidi w:val="0"/>
            <w:spacing w:after="0"/>
            <w:rPr>
              <w:rFonts w:eastAsia="Quattrocento Sans" w:cs="Segoe UI"/>
              <w:b/>
              <w:color w:val="15315A"/>
              <w:sz w:val="32"/>
              <w:szCs w:val="32"/>
            </w:rPr>
          </w:pPr>
          <w:r w:rsidRPr="00BD5A98">
            <w:rPr>
              <w:rFonts w:eastAsia="Quattrocento Sans" w:cs="Segoe UI"/>
              <w:b/>
              <w:color w:val="15315A"/>
              <w:sz w:val="32"/>
              <w:szCs w:val="32"/>
              <w:rtl w:val="0"/>
              <w:lang w:val="es"/>
            </w:rPr>
            <w:t>Herramientas de Comunicación de la Ley CARE para Condados: Puntos de Discusión</w:t>
          </w:r>
        </w:p>
      </w:tc>
      <w:tc>
        <w:tcPr>
          <w:tcW w:w="3630" w:type="dxa"/>
          <w:tcBorders>
            <w:bottom w:val="single" w:sz="18" w:space="0" w:color="0F2443"/>
          </w:tcBorders>
          <w:shd w:val="clear" w:color="auto" w:fill="auto"/>
          <w:vAlign w:val="bottom"/>
        </w:tcPr>
        <w:p w:rsidR="004522AD" w14:paraId="5EB5BC63" w14:textId="77777777">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15315A"/>
              <w:szCs w:val="24"/>
            </w:rPr>
          </w:pPr>
        </w:p>
      </w:tc>
      <w:tc>
        <w:tcPr>
          <w:tcW w:w="2340" w:type="dxa"/>
          <w:tcBorders>
            <w:bottom w:val="single" w:sz="18" w:space="0" w:color="0F2443"/>
          </w:tcBorders>
          <w:shd w:val="clear" w:color="auto" w:fill="auto"/>
          <w:vAlign w:val="bottom"/>
        </w:tcPr>
        <w:p w:rsidR="004522AD" w14:paraId="5EB5BC64" w14:textId="77777777">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15315A"/>
              <w:szCs w:val="24"/>
            </w:rPr>
          </w:pPr>
        </w:p>
      </w:tc>
    </w:tr>
  </w:tbl>
  <w:p w:rsidR="004522AD" w14:paraId="5EB5BC66"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7"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8"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9"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A"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B"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C" w14:textId="77777777">
    <w:pPr>
      <w:pBdr>
        <w:top w:val="nil"/>
        <w:left w:val="nil"/>
        <w:bottom w:val="nil"/>
        <w:right w:val="nil"/>
        <w:between w:val="nil"/>
      </w:pBdr>
      <w:tabs>
        <w:tab w:val="center" w:pos="4680"/>
        <w:tab w:val="right" w:pos="9360"/>
      </w:tabs>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74" w14:textId="77777777">
    <w:pPr>
      <w:widowControl w:val="0"/>
      <w:pBdr>
        <w:top w:val="nil"/>
        <w:left w:val="nil"/>
        <w:bottom w:val="nil"/>
        <w:right w:val="nil"/>
        <w:between w:val="nil"/>
      </w:pBdr>
      <w:spacing w:after="0" w:line="276" w:lineRule="auto"/>
      <w:rPr>
        <w:color w:val="000000"/>
      </w:rPr>
    </w:pPr>
  </w:p>
  <w:tbl>
    <w:tblPr>
      <w:tblW w:w="12870" w:type="dxa"/>
      <w:tblInd w:w="-1980" w:type="dxa"/>
      <w:tblBorders>
        <w:top w:val="nil"/>
        <w:left w:val="nil"/>
        <w:bottom w:val="nil"/>
        <w:right w:val="nil"/>
        <w:insideH w:val="nil"/>
        <w:insideV w:val="nil"/>
      </w:tblBorders>
      <w:tblLayout w:type="fixed"/>
      <w:tblCellMar>
        <w:left w:w="115" w:type="dxa"/>
        <w:right w:w="115" w:type="dxa"/>
      </w:tblCellMar>
      <w:tblLook w:val="0400"/>
    </w:tblPr>
    <w:tblGrid>
      <w:gridCol w:w="9360"/>
      <w:gridCol w:w="2160"/>
      <w:gridCol w:w="1350"/>
    </w:tblGrid>
    <w:tr w14:paraId="5EB5BC79" w14:textId="77777777">
      <w:tblPrEx>
        <w:tblW w:w="12870" w:type="dxa"/>
        <w:tblInd w:w="-1980" w:type="dxa"/>
        <w:tblBorders>
          <w:top w:val="nil"/>
          <w:left w:val="nil"/>
          <w:bottom w:val="nil"/>
          <w:right w:val="nil"/>
          <w:insideH w:val="nil"/>
          <w:insideV w:val="nil"/>
        </w:tblBorders>
        <w:tblLayout w:type="fixed"/>
        <w:tblCellMar>
          <w:left w:w="115" w:type="dxa"/>
          <w:right w:w="115" w:type="dxa"/>
        </w:tblCellMar>
        <w:tblLook w:val="0400"/>
      </w:tblPrEx>
      <w:trPr>
        <w:cantSplit/>
        <w:trHeight w:val="1440"/>
      </w:trPr>
      <w:tc>
        <w:tcPr>
          <w:tcW w:w="9360" w:type="dxa"/>
          <w:shd w:val="clear" w:color="auto" w:fill="auto"/>
          <w:vAlign w:val="center"/>
        </w:tcPr>
        <w:p w:rsidR="004522AD" w:rsidRPr="00CC522A" w14:paraId="5EB5BC76" w14:textId="77777777">
          <w:pPr>
            <w:pBdr>
              <w:top w:val="nil"/>
              <w:left w:val="nil"/>
              <w:bottom w:val="nil"/>
              <w:right w:val="nil"/>
              <w:between w:val="nil"/>
            </w:pBdr>
            <w:tabs>
              <w:tab w:val="center" w:pos="4680"/>
              <w:tab w:val="right" w:pos="9360"/>
            </w:tabs>
            <w:bidi w:val="0"/>
            <w:ind w:left="1960"/>
            <w:rPr>
              <w:rFonts w:eastAsia="Quattrocento Sans" w:cs="Segoe UI"/>
              <w:b/>
              <w:color w:val="15315A"/>
              <w:sz w:val="44"/>
              <w:szCs w:val="44"/>
            </w:rPr>
          </w:pPr>
          <w:r w:rsidRPr="00CC522A">
            <w:rPr>
              <w:rFonts w:eastAsia="Quattrocento Sans" w:cs="Segoe UI"/>
              <w:b/>
              <w:color w:val="15315A"/>
              <w:sz w:val="44"/>
              <w:szCs w:val="44"/>
              <w:rtl w:val="0"/>
              <w:lang w:val="es"/>
            </w:rPr>
            <w:t>Herramientas de Comunicación de la Ley CARE para Condados: Puntos de Discusión</w:t>
          </w:r>
        </w:p>
      </w:tc>
      <w:tc>
        <w:tcPr>
          <w:tcW w:w="2160" w:type="dxa"/>
          <w:shd w:val="clear" w:color="auto" w:fill="auto"/>
          <w:vAlign w:val="center"/>
        </w:tcPr>
        <w:p w:rsidR="004522AD" w14:paraId="5EB5BC77" w14:textId="77777777">
          <w:pPr>
            <w:pBdr>
              <w:top w:val="nil"/>
              <w:left w:val="nil"/>
              <w:bottom w:val="nil"/>
              <w:right w:val="nil"/>
              <w:between w:val="nil"/>
            </w:pBdr>
            <w:tabs>
              <w:tab w:val="center" w:pos="4680"/>
              <w:tab w:val="right" w:pos="9360"/>
            </w:tabs>
            <w:jc w:val="right"/>
            <w:rPr>
              <w:rFonts w:ascii="Quattrocento Sans" w:eastAsia="Quattrocento Sans" w:hAnsi="Quattrocento Sans" w:cs="Quattrocento Sans"/>
              <w:b/>
              <w:color w:val="F8A51E"/>
              <w:sz w:val="44"/>
              <w:szCs w:val="44"/>
            </w:rPr>
          </w:pPr>
        </w:p>
      </w:tc>
      <w:tc>
        <w:tcPr>
          <w:tcW w:w="1350" w:type="dxa"/>
          <w:shd w:val="clear" w:color="auto" w:fill="auto"/>
          <w:vAlign w:val="center"/>
        </w:tcPr>
        <w:p w:rsidR="004522AD" w14:paraId="5EB5BC78" w14:textId="77777777">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FFFFFF"/>
              <w:szCs w:val="24"/>
            </w:rPr>
          </w:pPr>
        </w:p>
      </w:tc>
    </w:tr>
  </w:tbl>
  <w:p w:rsidR="004522AD" w14:paraId="5EB5BC7A" w14:textId="77777777">
    <w:pPr>
      <w:pBdr>
        <w:top w:val="nil"/>
        <w:left w:val="nil"/>
        <w:bottom w:val="nil"/>
        <w:right w:val="nil"/>
        <w:between w:val="nil"/>
      </w:pBdr>
      <w:spacing w:after="0" w:line="240" w:lineRule="auto"/>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405E3E"/>
    <w:multiLevelType w:val="multilevel"/>
    <w:tmpl w:val="7C86B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FF154D8"/>
    <w:multiLevelType w:val="hybridMultilevel"/>
    <w:tmpl w:val="C0203066"/>
    <w:lvl w:ilvl="0">
      <w:start w:val="1"/>
      <w:numFmt w:val="bullet"/>
      <w:pStyle w:val="Bullets"/>
      <w:lvlText w:val="»"/>
      <w:lvlJc w:val="left"/>
      <w:pPr>
        <w:ind w:left="792" w:hanging="360"/>
      </w:pPr>
      <w:rPr>
        <w:rFonts w:ascii="Segoe UI" w:hAnsi="Segoe UI" w:hint="default"/>
        <w:b/>
        <w:i w:val="0"/>
        <w:color w:val="E4722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26E6869"/>
    <w:multiLevelType w:val="multilevel"/>
    <w:tmpl w:val="AB602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511681E"/>
    <w:multiLevelType w:val="hybridMultilevel"/>
    <w:tmpl w:val="197065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CFC1183"/>
    <w:multiLevelType w:val="multilevel"/>
    <w:tmpl w:val="9CE4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AD"/>
    <w:rsid w:val="000016FF"/>
    <w:rsid w:val="00015C4A"/>
    <w:rsid w:val="00025EFD"/>
    <w:rsid w:val="00030936"/>
    <w:rsid w:val="000456DE"/>
    <w:rsid w:val="00053880"/>
    <w:rsid w:val="00070843"/>
    <w:rsid w:val="00086E8B"/>
    <w:rsid w:val="00094ABA"/>
    <w:rsid w:val="000A1DD4"/>
    <w:rsid w:val="000A4082"/>
    <w:rsid w:val="000B2FFA"/>
    <w:rsid w:val="000B68E6"/>
    <w:rsid w:val="000C117F"/>
    <w:rsid w:val="000C6F2F"/>
    <w:rsid w:val="000C749C"/>
    <w:rsid w:val="000E5F08"/>
    <w:rsid w:val="000F22E7"/>
    <w:rsid w:val="001002FC"/>
    <w:rsid w:val="001052E5"/>
    <w:rsid w:val="001207E3"/>
    <w:rsid w:val="00123EA3"/>
    <w:rsid w:val="001372C9"/>
    <w:rsid w:val="00182DE4"/>
    <w:rsid w:val="001B584A"/>
    <w:rsid w:val="001C4F86"/>
    <w:rsid w:val="001F5AB9"/>
    <w:rsid w:val="0022154A"/>
    <w:rsid w:val="0025149A"/>
    <w:rsid w:val="00261EDF"/>
    <w:rsid w:val="00277647"/>
    <w:rsid w:val="00281744"/>
    <w:rsid w:val="002843EC"/>
    <w:rsid w:val="002927D6"/>
    <w:rsid w:val="00292EA9"/>
    <w:rsid w:val="002A4ED9"/>
    <w:rsid w:val="002B43DE"/>
    <w:rsid w:val="002C1F9E"/>
    <w:rsid w:val="002C58ED"/>
    <w:rsid w:val="002D149D"/>
    <w:rsid w:val="002E6287"/>
    <w:rsid w:val="00300213"/>
    <w:rsid w:val="0030119C"/>
    <w:rsid w:val="00310E7E"/>
    <w:rsid w:val="00357EDE"/>
    <w:rsid w:val="003624E7"/>
    <w:rsid w:val="00375D9E"/>
    <w:rsid w:val="00390E64"/>
    <w:rsid w:val="003A57C0"/>
    <w:rsid w:val="003B6020"/>
    <w:rsid w:val="003D565C"/>
    <w:rsid w:val="003E6F5C"/>
    <w:rsid w:val="003F76BC"/>
    <w:rsid w:val="00405FA4"/>
    <w:rsid w:val="00414DB6"/>
    <w:rsid w:val="004377A1"/>
    <w:rsid w:val="00446DB9"/>
    <w:rsid w:val="004522AD"/>
    <w:rsid w:val="00480C2C"/>
    <w:rsid w:val="0049043E"/>
    <w:rsid w:val="00490E88"/>
    <w:rsid w:val="00497E15"/>
    <w:rsid w:val="004A5B93"/>
    <w:rsid w:val="004B2515"/>
    <w:rsid w:val="004E2463"/>
    <w:rsid w:val="004E6296"/>
    <w:rsid w:val="00501A9B"/>
    <w:rsid w:val="005064ED"/>
    <w:rsid w:val="0051410A"/>
    <w:rsid w:val="0052162E"/>
    <w:rsid w:val="005253E3"/>
    <w:rsid w:val="00525440"/>
    <w:rsid w:val="005333E2"/>
    <w:rsid w:val="00563791"/>
    <w:rsid w:val="00587A58"/>
    <w:rsid w:val="005A02DF"/>
    <w:rsid w:val="005A35CE"/>
    <w:rsid w:val="005B276E"/>
    <w:rsid w:val="005B29CA"/>
    <w:rsid w:val="005C3390"/>
    <w:rsid w:val="005D47B4"/>
    <w:rsid w:val="005E1898"/>
    <w:rsid w:val="005E6FF6"/>
    <w:rsid w:val="005F6445"/>
    <w:rsid w:val="006042BB"/>
    <w:rsid w:val="00622E75"/>
    <w:rsid w:val="00623786"/>
    <w:rsid w:val="00640A8C"/>
    <w:rsid w:val="0064384B"/>
    <w:rsid w:val="00647721"/>
    <w:rsid w:val="0065335F"/>
    <w:rsid w:val="00671DC5"/>
    <w:rsid w:val="006B5A0B"/>
    <w:rsid w:val="006C53AC"/>
    <w:rsid w:val="006C5D13"/>
    <w:rsid w:val="006E00FE"/>
    <w:rsid w:val="006F538D"/>
    <w:rsid w:val="007076DB"/>
    <w:rsid w:val="00726997"/>
    <w:rsid w:val="00730046"/>
    <w:rsid w:val="00736D67"/>
    <w:rsid w:val="0075409A"/>
    <w:rsid w:val="00781308"/>
    <w:rsid w:val="00793574"/>
    <w:rsid w:val="007A0F26"/>
    <w:rsid w:val="007C0984"/>
    <w:rsid w:val="007C263E"/>
    <w:rsid w:val="007C40B7"/>
    <w:rsid w:val="007D7C00"/>
    <w:rsid w:val="007E062A"/>
    <w:rsid w:val="00804692"/>
    <w:rsid w:val="0080587C"/>
    <w:rsid w:val="0081639D"/>
    <w:rsid w:val="0082580F"/>
    <w:rsid w:val="008346A6"/>
    <w:rsid w:val="008643D0"/>
    <w:rsid w:val="00882F90"/>
    <w:rsid w:val="008868E4"/>
    <w:rsid w:val="008A3590"/>
    <w:rsid w:val="008C2AFD"/>
    <w:rsid w:val="008D02DD"/>
    <w:rsid w:val="008D0BBB"/>
    <w:rsid w:val="008D16F4"/>
    <w:rsid w:val="008E39D5"/>
    <w:rsid w:val="008E3C47"/>
    <w:rsid w:val="008F1B7E"/>
    <w:rsid w:val="00900F3E"/>
    <w:rsid w:val="00921E98"/>
    <w:rsid w:val="0093184A"/>
    <w:rsid w:val="009325BA"/>
    <w:rsid w:val="00942D50"/>
    <w:rsid w:val="009462EA"/>
    <w:rsid w:val="009552A5"/>
    <w:rsid w:val="00955F46"/>
    <w:rsid w:val="0095623F"/>
    <w:rsid w:val="009764AC"/>
    <w:rsid w:val="00986D42"/>
    <w:rsid w:val="009919D9"/>
    <w:rsid w:val="00996614"/>
    <w:rsid w:val="009A73D6"/>
    <w:rsid w:val="009C38E1"/>
    <w:rsid w:val="009F33F0"/>
    <w:rsid w:val="00A11755"/>
    <w:rsid w:val="00A25578"/>
    <w:rsid w:val="00A41065"/>
    <w:rsid w:val="00A453AD"/>
    <w:rsid w:val="00A5322A"/>
    <w:rsid w:val="00A65053"/>
    <w:rsid w:val="00A70F9A"/>
    <w:rsid w:val="00A73AAE"/>
    <w:rsid w:val="00A74761"/>
    <w:rsid w:val="00A8222F"/>
    <w:rsid w:val="00A968B1"/>
    <w:rsid w:val="00AA52AF"/>
    <w:rsid w:val="00AB5FF8"/>
    <w:rsid w:val="00AC1447"/>
    <w:rsid w:val="00AF2BF0"/>
    <w:rsid w:val="00B06AC4"/>
    <w:rsid w:val="00B111C4"/>
    <w:rsid w:val="00B11738"/>
    <w:rsid w:val="00B16CB6"/>
    <w:rsid w:val="00B45FBD"/>
    <w:rsid w:val="00B517A7"/>
    <w:rsid w:val="00B63CCD"/>
    <w:rsid w:val="00B74E8A"/>
    <w:rsid w:val="00B77F4C"/>
    <w:rsid w:val="00B8798A"/>
    <w:rsid w:val="00BA37C8"/>
    <w:rsid w:val="00BD53FE"/>
    <w:rsid w:val="00BD5A98"/>
    <w:rsid w:val="00BE6E27"/>
    <w:rsid w:val="00C07140"/>
    <w:rsid w:val="00C11FDF"/>
    <w:rsid w:val="00C21A1F"/>
    <w:rsid w:val="00C25E64"/>
    <w:rsid w:val="00C47CF5"/>
    <w:rsid w:val="00C66646"/>
    <w:rsid w:val="00C92D9F"/>
    <w:rsid w:val="00C936B2"/>
    <w:rsid w:val="00CA7E45"/>
    <w:rsid w:val="00CB204E"/>
    <w:rsid w:val="00CB5717"/>
    <w:rsid w:val="00CB629E"/>
    <w:rsid w:val="00CC522A"/>
    <w:rsid w:val="00CE02D1"/>
    <w:rsid w:val="00CE3F6F"/>
    <w:rsid w:val="00D05C15"/>
    <w:rsid w:val="00D06630"/>
    <w:rsid w:val="00D149DF"/>
    <w:rsid w:val="00D177AF"/>
    <w:rsid w:val="00D324F8"/>
    <w:rsid w:val="00D37626"/>
    <w:rsid w:val="00D37803"/>
    <w:rsid w:val="00D458E7"/>
    <w:rsid w:val="00D81E50"/>
    <w:rsid w:val="00D958A6"/>
    <w:rsid w:val="00DA264F"/>
    <w:rsid w:val="00DC10F9"/>
    <w:rsid w:val="00DC2937"/>
    <w:rsid w:val="00DC781A"/>
    <w:rsid w:val="00DD3259"/>
    <w:rsid w:val="00DE04F1"/>
    <w:rsid w:val="00DF0D8A"/>
    <w:rsid w:val="00DF6D25"/>
    <w:rsid w:val="00E00339"/>
    <w:rsid w:val="00E23AAF"/>
    <w:rsid w:val="00E40B73"/>
    <w:rsid w:val="00E758F9"/>
    <w:rsid w:val="00E874A9"/>
    <w:rsid w:val="00E9652B"/>
    <w:rsid w:val="00E97A4E"/>
    <w:rsid w:val="00EC118F"/>
    <w:rsid w:val="00EE4288"/>
    <w:rsid w:val="00F00451"/>
    <w:rsid w:val="00F037ED"/>
    <w:rsid w:val="00F2597A"/>
    <w:rsid w:val="00F44C7A"/>
    <w:rsid w:val="00F610B4"/>
    <w:rsid w:val="00F67C9C"/>
    <w:rsid w:val="00F87351"/>
    <w:rsid w:val="00F97DBF"/>
    <w:rsid w:val="00FA2926"/>
    <w:rsid w:val="00FB0E79"/>
    <w:rsid w:val="00FB3D1F"/>
    <w:rsid w:val="00FD41D6"/>
    <w:rsid w:val="00FF02CC"/>
    <w:rsid w:val="09DE1786"/>
    <w:rsid w:val="0E46237B"/>
    <w:rsid w:val="112F8D81"/>
    <w:rsid w:val="19A7BB42"/>
    <w:rsid w:val="1AA4E35C"/>
    <w:rsid w:val="1F125FC9"/>
    <w:rsid w:val="1FBF667C"/>
    <w:rsid w:val="25E79603"/>
    <w:rsid w:val="26337D5E"/>
    <w:rsid w:val="2C3CA0E9"/>
    <w:rsid w:val="2E71A7DA"/>
    <w:rsid w:val="33A50BC4"/>
    <w:rsid w:val="3682A7F3"/>
    <w:rsid w:val="37545EA6"/>
    <w:rsid w:val="3D79CB55"/>
    <w:rsid w:val="41753C7F"/>
    <w:rsid w:val="4276BE67"/>
    <w:rsid w:val="42ACFD69"/>
    <w:rsid w:val="473FDD0C"/>
    <w:rsid w:val="47C5C4CD"/>
    <w:rsid w:val="4CBA3737"/>
    <w:rsid w:val="540A5B84"/>
    <w:rsid w:val="5EBD0061"/>
    <w:rsid w:val="5F7E48AD"/>
    <w:rsid w:val="71F6EB0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docId w15:val="{EBF2A31F-FC6F-4FB3-A79F-A602011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hAnsi="Segoe UI"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A6"/>
    <w:pPr>
      <w:spacing w:after="120"/>
    </w:pPr>
  </w:style>
  <w:style w:type="paragraph" w:styleId="Heading1">
    <w:name w:val="heading 1"/>
    <w:basedOn w:val="Normal"/>
    <w:next w:val="Normal"/>
    <w:link w:val="Heading1Char"/>
    <w:uiPriority w:val="9"/>
    <w:qFormat/>
    <w:rsid w:val="008346A6"/>
    <w:pPr>
      <w:keepNext/>
      <w:keepLines/>
      <w:spacing w:after="0" w:line="240" w:lineRule="auto"/>
      <w:contextualSpacing/>
      <w:outlineLvl w:val="0"/>
    </w:pPr>
    <w:rPr>
      <w:rFonts w:eastAsiaTheme="majorEastAsia" w:cs="Segoe UI"/>
      <w:b/>
      <w:caps/>
      <w:color w:val="15315A" w:themeColor="text2"/>
      <w:sz w:val="40"/>
      <w:szCs w:val="40"/>
    </w:rPr>
  </w:style>
  <w:style w:type="paragraph" w:styleId="Heading2">
    <w:name w:val="heading 2"/>
    <w:basedOn w:val="Normal"/>
    <w:next w:val="Normal"/>
    <w:link w:val="Heading2Char"/>
    <w:uiPriority w:val="1"/>
    <w:unhideWhenUsed/>
    <w:qFormat/>
    <w:rsid w:val="008346A6"/>
    <w:pPr>
      <w:keepNext/>
      <w:keepLines/>
      <w:spacing w:before="160"/>
      <w:outlineLvl w:val="1"/>
    </w:pPr>
    <w:rPr>
      <w:rFonts w:eastAsiaTheme="majorEastAsia" w:cs="Segoe UI"/>
      <w:b/>
      <w:color w:val="306E8D" w:themeColor="accent1"/>
      <w:sz w:val="36"/>
      <w:szCs w:val="36"/>
    </w:rPr>
  </w:style>
  <w:style w:type="paragraph" w:styleId="Heading3">
    <w:name w:val="heading 3"/>
    <w:basedOn w:val="Normal"/>
    <w:next w:val="Normal"/>
    <w:link w:val="Heading3Char"/>
    <w:uiPriority w:val="9"/>
    <w:unhideWhenUsed/>
    <w:qFormat/>
    <w:rsid w:val="009462EA"/>
    <w:pPr>
      <w:keepNext/>
      <w:spacing w:before="240"/>
      <w:outlineLvl w:val="2"/>
    </w:pPr>
    <w:rPr>
      <w:b/>
      <w:color w:val="15315A"/>
      <w:sz w:val="28"/>
      <w:szCs w:val="28"/>
    </w:rPr>
  </w:style>
  <w:style w:type="paragraph" w:styleId="Heading4">
    <w:name w:val="heading 4"/>
    <w:basedOn w:val="Normal"/>
    <w:next w:val="Normal"/>
    <w:link w:val="Heading4Char"/>
    <w:uiPriority w:val="9"/>
    <w:semiHidden/>
    <w:unhideWhenUsed/>
    <w:qFormat/>
    <w:rsid w:val="008346A6"/>
    <w:pPr>
      <w:keepNext/>
      <w:keepLines/>
      <w:tabs>
        <w:tab w:val="center" w:pos="4680"/>
      </w:tabs>
      <w:spacing w:before="160"/>
      <w:outlineLvl w:val="3"/>
    </w:pPr>
    <w:rPr>
      <w:rFonts w:eastAsiaTheme="majorEastAsia" w:cs="Segoe UI"/>
      <w:b/>
      <w:iCs/>
      <w:color w:val="306E8D" w:themeColor="accent1"/>
      <w:sz w:val="28"/>
      <w:szCs w:val="24"/>
    </w:rPr>
  </w:style>
  <w:style w:type="paragraph" w:styleId="Heading5">
    <w:name w:val="heading 5"/>
    <w:basedOn w:val="Normal"/>
    <w:next w:val="Normal"/>
    <w:link w:val="Heading5Char"/>
    <w:uiPriority w:val="9"/>
    <w:semiHidden/>
    <w:unhideWhenUsed/>
    <w:qFormat/>
    <w:rsid w:val="008346A6"/>
    <w:pPr>
      <w:keepNext/>
      <w:keepLines/>
      <w:spacing w:before="40" w:after="0"/>
      <w:outlineLvl w:val="4"/>
    </w:pPr>
    <w:rPr>
      <w:rFonts w:eastAsiaTheme="majorEastAsia" w:cstheme="majorBidi"/>
      <w:b/>
      <w:color w:val="2D6E8D"/>
      <w:sz w:val="26"/>
      <w:szCs w:val="26"/>
    </w:rPr>
  </w:style>
  <w:style w:type="paragraph" w:styleId="Heading6">
    <w:name w:val="heading 6"/>
    <w:basedOn w:val="Normal"/>
    <w:next w:val="Normal"/>
    <w:link w:val="Heading6Char"/>
    <w:uiPriority w:val="9"/>
    <w:semiHidden/>
    <w:unhideWhenUsed/>
    <w:qFormat/>
    <w:rsid w:val="008346A6"/>
    <w:pPr>
      <w:keepNext/>
      <w:keepLines/>
      <w:spacing w:before="40" w:after="0"/>
      <w:outlineLvl w:val="5"/>
    </w:pPr>
    <w:rPr>
      <w:rFonts w:eastAsiaTheme="majorEastAsia" w:cstheme="majorBidi"/>
      <w:b/>
      <w:color w:val="2D6E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8346A6"/>
    <w:rPr>
      <w:rFonts w:eastAsiaTheme="majorEastAsia" w:cs="Segoe UI"/>
      <w:b/>
      <w:caps/>
      <w:color w:val="15315A" w:themeColor="text2"/>
      <w:sz w:val="40"/>
      <w:szCs w:val="40"/>
    </w:rPr>
  </w:style>
  <w:style w:type="character" w:customStyle="1" w:styleId="Heading2Char">
    <w:name w:val="Heading 2 Char"/>
    <w:basedOn w:val="DefaultParagraphFont"/>
    <w:link w:val="Heading2"/>
    <w:uiPriority w:val="1"/>
    <w:rsid w:val="008346A6"/>
    <w:rPr>
      <w:rFonts w:eastAsiaTheme="majorEastAsia" w:cs="Segoe UI"/>
      <w:b/>
      <w:color w:val="306E8D" w:themeColor="accent1"/>
      <w:sz w:val="36"/>
      <w:szCs w:val="36"/>
    </w:rPr>
  </w:style>
  <w:style w:type="character" w:customStyle="1" w:styleId="Heading3Char">
    <w:name w:val="Heading 3 Char"/>
    <w:basedOn w:val="DefaultParagraphFont"/>
    <w:link w:val="Heading3"/>
    <w:uiPriority w:val="9"/>
    <w:rsid w:val="009462EA"/>
    <w:rPr>
      <w:b/>
      <w:color w:val="15315A"/>
      <w:sz w:val="28"/>
      <w:szCs w:val="28"/>
    </w:rPr>
  </w:style>
  <w:style w:type="character" w:customStyle="1" w:styleId="Heading4Char">
    <w:name w:val="Heading 4 Char"/>
    <w:basedOn w:val="DefaultParagraphFont"/>
    <w:link w:val="Heading4"/>
    <w:uiPriority w:val="9"/>
    <w:semiHidden/>
    <w:rsid w:val="008346A6"/>
    <w:rPr>
      <w:rFonts w:eastAsiaTheme="majorEastAsia" w:cs="Segoe UI"/>
      <w:b/>
      <w:iCs/>
      <w:color w:val="306E8D" w:themeColor="accent1"/>
      <w:sz w:val="28"/>
      <w:szCs w:val="24"/>
    </w:rPr>
  </w:style>
  <w:style w:type="character" w:customStyle="1" w:styleId="Heading5Char">
    <w:name w:val="Heading 5 Char"/>
    <w:basedOn w:val="DefaultParagraphFont"/>
    <w:link w:val="Heading5"/>
    <w:uiPriority w:val="9"/>
    <w:semiHidden/>
    <w:rsid w:val="008346A6"/>
    <w:rPr>
      <w:rFonts w:eastAsiaTheme="majorEastAsia" w:cstheme="majorBidi"/>
      <w:b/>
      <w:color w:val="2D6E8D"/>
      <w:sz w:val="26"/>
      <w:szCs w:val="26"/>
    </w:rPr>
  </w:style>
  <w:style w:type="character" w:customStyle="1" w:styleId="Heading6Char">
    <w:name w:val="Heading 6 Char"/>
    <w:basedOn w:val="DefaultParagraphFont"/>
    <w:link w:val="Heading6"/>
    <w:uiPriority w:val="9"/>
    <w:semiHidden/>
    <w:rsid w:val="008346A6"/>
    <w:rPr>
      <w:rFonts w:eastAsiaTheme="majorEastAsia" w:cstheme="majorBidi"/>
      <w:b/>
      <w:color w:val="2D6E8D"/>
    </w:rPr>
  </w:style>
  <w:style w:type="character" w:styleId="Emphasis">
    <w:name w:val="Emphasis"/>
    <w:basedOn w:val="DefaultParagraphFont"/>
    <w:uiPriority w:val="20"/>
    <w:qFormat/>
    <w:rsid w:val="008346A6"/>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731394"/>
    <w:rPr>
      <w:b/>
      <w:color w:val="15315A" w:themeColor="text2"/>
      <w:u w:val="single"/>
    </w:rPr>
  </w:style>
  <w:style w:type="paragraph" w:styleId="ListParagraph">
    <w:name w:val="List Paragraph"/>
    <w:aliases w:val="3,Bullet 1,Bullet Points,Colorful List - Accent 11,Dot pt,F5 List Paragraph,FooterText,Indicator Text,Issue Action POC,List Paragraph Char Char Char,List Paragraph2,MAIN CONTENT,No Spacing1,Normal numbered,Numbered Para 1,POCG Table Text"/>
    <w:basedOn w:val="Normal"/>
    <w:link w:val="ListParagraphChar"/>
    <w:uiPriority w:val="34"/>
    <w:rsid w:val="00CF3E6E"/>
    <w:pPr>
      <w:ind w:left="720"/>
      <w:contextualSpacing/>
    </w:pPr>
    <w:rPr>
      <w:rFonts w:cs="Segoe UI"/>
      <w:szCs w:val="24"/>
    </w:rPr>
  </w:style>
  <w:style w:type="character" w:customStyle="1" w:styleId="ListParagraphChar">
    <w:name w:val="List Paragraph Char"/>
    <w:aliases w:val="Bullet 1 Char,Bullet Points Char,Colorful List - Accent 11 Char,Dot pt Char,F5 List Paragraph Char,Indicator Text Char,List Paragraph Char Char Char Char,List Paragraph2 Char,MAIN CONTENT Char,No Spacing1 Char,Numbered Para 1 Char"/>
    <w:basedOn w:val="DefaultParagraphFont"/>
    <w:link w:val="ListParagraph"/>
    <w:uiPriority w:val="34"/>
    <w:rsid w:val="005C2E22"/>
    <w:rPr>
      <w:rFonts w:cs="Segoe UI"/>
      <w:szCs w:val="24"/>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 Char Char Char1,Footnote Text Char Char Char1,Footnote Text Char1 Char Char Char Char Char1,Footnote Text Char1 Char Char1,Footnote Text Char2 Char Char Char Char1,Footnote Text Char2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8346A6"/>
    <w:pPr>
      <w:spacing w:after="0" w:line="240" w:lineRule="auto"/>
    </w:pPr>
    <w:rPr>
      <w:rFonts w:ascii="Arial" w:hAnsi="Arial" w:eastAsiaTheme="minorEastAsia" w:cs="Arial"/>
      <w:szCs w:val="24"/>
    </w:rPr>
  </w:style>
  <w:style w:type="character" w:customStyle="1" w:styleId="NoSpacingChar">
    <w:name w:val="No Spacing Char"/>
    <w:basedOn w:val="DefaultParagraphFont"/>
    <w:link w:val="NoSpacing"/>
    <w:uiPriority w:val="1"/>
    <w:rsid w:val="008346A6"/>
    <w:rPr>
      <w:rFonts w:ascii="Arial" w:hAnsi="Arial" w:eastAsiaTheme="minorEastAsia"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346A6"/>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60" w:afterLines="60" w:line="240" w:lineRule="auto"/>
      <w:ind w:left="360"/>
      <w:jc w:val="center"/>
    </w:pPr>
    <w:rPr>
      <w:rFonts w:ascii="Arial" w:eastAsia="Calibri" w:hAnsi="Arial" w:cs="Arial"/>
      <w:i/>
      <w:szCs w:val="24"/>
    </w:rPr>
  </w:style>
  <w:style w:type="character" w:styleId="Strong">
    <w:name w:val="Strong"/>
    <w:basedOn w:val="DefaultParagraphFont"/>
    <w:qFormat/>
    <w:rsid w:val="008346A6"/>
    <w:rPr>
      <w:b/>
      <w:bCs/>
    </w:rPr>
  </w:style>
  <w:style w:type="paragraph" w:customStyle="1" w:styleId="Bullets">
    <w:name w:val="Bullets"/>
    <w:basedOn w:val="ListParagraph"/>
    <w:link w:val="BulletsChar"/>
    <w:qFormat/>
    <w:rsid w:val="008346A6"/>
    <w:pPr>
      <w:numPr>
        <w:numId w:val="5"/>
      </w:numPr>
      <w:contextualSpacing w:val="0"/>
    </w:pPr>
  </w:style>
  <w:style w:type="character" w:styleId="FollowedHyperlink">
    <w:name w:val="FollowedHyperlink"/>
    <w:basedOn w:val="DefaultParagraphFont"/>
    <w:uiPriority w:val="99"/>
    <w:semiHidden/>
    <w:unhideWhenUsed/>
    <w:rsid w:val="00D31516"/>
    <w:rPr>
      <w:color w:val="666699" w:themeColor="followedHyperlink"/>
      <w:u w:val="single"/>
    </w:rPr>
  </w:style>
  <w:style w:type="character" w:customStyle="1" w:styleId="BulletsChar">
    <w:name w:val="Bullets Char"/>
    <w:basedOn w:val="ListParagraphChar"/>
    <w:link w:val="Bullets"/>
    <w:rsid w:val="008346A6"/>
    <w:rPr>
      <w:rFonts w:cs="Segoe UI"/>
      <w:szCs w:val="24"/>
    </w:rPr>
  </w:style>
  <w:style w:type="paragraph" w:customStyle="1" w:styleId="Footnote">
    <w:name w:val="Footnote"/>
    <w:basedOn w:val="Normal"/>
    <w:link w:val="FootnoteChar"/>
    <w:qFormat/>
    <w:rsid w:val="008346A6"/>
    <w:rPr>
      <w:rFonts w:cs="Segoe UI"/>
      <w:sz w:val="22"/>
      <w:szCs w:val="20"/>
    </w:rPr>
  </w:style>
  <w:style w:type="character" w:styleId="IntenseEmphasis">
    <w:name w:val="Intense Emphasis"/>
    <w:basedOn w:val="DefaultParagraphFont"/>
    <w:uiPriority w:val="21"/>
    <w:rsid w:val="00427621"/>
    <w:rPr>
      <w:i/>
      <w:iCs/>
      <w:color w:val="306E8D" w:themeColor="accent1"/>
    </w:rPr>
  </w:style>
  <w:style w:type="character" w:customStyle="1" w:styleId="FootnoteChar">
    <w:name w:val="Footnote Char"/>
    <w:basedOn w:val="DefaultParagraphFont"/>
    <w:link w:val="Footnote"/>
    <w:rsid w:val="008346A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sz w:val="24"/>
      </w:rPr>
    </w:tblStyle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Yu Gothic UI Semibold" w:hAnsi="@Yu Gothic UI Semibold"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8346A6"/>
    <w:pPr>
      <w:ind w:left="187" w:hanging="187"/>
    </w:pPr>
    <w:rPr>
      <w:rFonts w:eastAsiaTheme="minorEastAsia"/>
    </w:rPr>
  </w:style>
  <w:style w:type="character" w:customStyle="1" w:styleId="TableBulletsChar">
    <w:name w:val="Table Bullets Char"/>
    <w:basedOn w:val="DefaultParagraphFont"/>
    <w:link w:val="TableBullets"/>
    <w:rsid w:val="008346A6"/>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8346A6"/>
    <w:pPr>
      <w:spacing w:before="240"/>
      <w:outlineLvl w:val="9"/>
    </w:pPr>
    <w:rPr>
      <w:rFonts w:cstheme="majorBidi"/>
    </w:rPr>
  </w:style>
  <w:style w:type="paragraph" w:styleId="TO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O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O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itle">
    <w:name w:val="Subtitle"/>
    <w:basedOn w:val="Normal"/>
    <w:next w:val="Normal"/>
    <w:link w:val="SubtitleChar"/>
    <w:uiPriority w:val="11"/>
    <w:qFormat/>
    <w:rsid w:val="008346A6"/>
    <w:pPr>
      <w:numPr>
        <w:ilvl w:val="1"/>
      </w:numPr>
      <w:spacing w:before="160"/>
      <w:jc w:val="center"/>
    </w:pPr>
    <w:rPr>
      <w:rFonts w:eastAsiaTheme="minorEastAsia"/>
      <w:b/>
      <w:color w:val="FFFFFF" w:themeColor="background1"/>
      <w:spacing w:val="15"/>
      <w:sz w:val="28"/>
    </w:rPr>
  </w:style>
  <w:style w:type="character" w:customStyle="1" w:styleId="SubtitleChar">
    <w:name w:val="Subtitle Char"/>
    <w:basedOn w:val="DefaultParagraphFont"/>
    <w:link w:val="Subtitle"/>
    <w:uiPriority w:val="11"/>
    <w:rsid w:val="008346A6"/>
    <w:rPr>
      <w:rFonts w:eastAsiaTheme="minorEastAsia"/>
      <w:b/>
      <w:color w:val="FFFFFF" w:themeColor="background1"/>
      <w:spacing w:val="15"/>
      <w:sz w:val="28"/>
    </w:rPr>
  </w:style>
  <w:style w:type="paragraph" w:customStyle="1" w:styleId="TableHeaders">
    <w:name w:val="Table Headers"/>
    <w:basedOn w:val="Normal"/>
    <w:uiPriority w:val="1"/>
    <w:qFormat/>
    <w:rsid w:val="008346A6"/>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
    <w:name w:val="Unresolved Mention"/>
    <w:basedOn w:val="DefaultParagraphFont"/>
    <w:uiPriority w:val="99"/>
    <w:semiHidden/>
    <w:unhideWhenUsed/>
    <w:rsid w:val="00853DD1"/>
    <w:rPr>
      <w:color w:val="605E5C"/>
      <w:shd w:val="clear" w:color="auto" w:fill="E1DFDD"/>
    </w:rPr>
  </w:style>
  <w:style w:type="paragraph" w:customStyle="1" w:styleId="ResourceStyle">
    <w:name w:val="Resource Style"/>
    <w:basedOn w:val="Normal"/>
    <w:rsid w:val="002B45C3"/>
    <w:pPr>
      <w:framePr w:w="4520" w:hSpace="187" w:wrap="around" w:vAnchor="text" w:hAnchor="page" w:x="10119" w:y="497"/>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40" w:lineRule="auto"/>
      <w:ind w:left="270" w:hanging="270"/>
    </w:pPr>
    <w:rPr>
      <w:i/>
      <w:iCs/>
      <w:noProof/>
      <w:color w:val="306E8D" w:themeColor="accent1"/>
    </w:rPr>
  </w:style>
  <w:style w:type="table" w:styleId="GridTable4Accent1">
    <w:name w:val="Grid Table 4 Accent 1"/>
    <w:basedOn w:val="Table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GridTable4">
    <w:name w:val="Grid Table 4"/>
    <w:basedOn w:val="Table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GridTable2Accent1">
    <w:name w:val="Grid Table 2 Accent 1"/>
    <w:basedOn w:val="Table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
    <w:name w:val="Mention"/>
    <w:basedOn w:val="DefaultParagraphFont"/>
    <w:uiPriority w:val="99"/>
    <w:unhideWhenUsed/>
    <w:rsid w:val="00CD600E"/>
    <w:rPr>
      <w:color w:val="2B579A"/>
      <w:shd w:val="clear" w:color="auto" w:fill="E1DFDD"/>
    </w:rPr>
  </w:style>
  <w:style w:type="character" w:customStyle="1" w:styleId="ui-provider">
    <w:name w:val="ui-provider"/>
    <w:basedOn w:val="DefaultParagraphFont"/>
    <w:rsid w:val="00B97F2E"/>
  </w:style>
  <w:style w:type="table" w:styleId="ListTable4Accent1">
    <w:name w:val="List Table 4 Accent 1"/>
    <w:basedOn w:val="TableNormal"/>
    <w:uiPriority w:val="49"/>
    <w:rsid w:val="00442EAE"/>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tcBorders>
        <w:shd w:val="clear" w:color="auto" w:fill="306E8D" w:themeFill="accent1"/>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customStyle="1" w:styleId="pf0">
    <w:name w:val="pf0"/>
    <w:basedOn w:val="Normal"/>
    <w:rsid w:val="00CF2AC4"/>
    <w:pPr>
      <w:spacing w:before="100" w:beforeAutospacing="1" w:after="100" w:afterAutospacing="1" w:line="240" w:lineRule="auto"/>
    </w:pPr>
    <w:rPr>
      <w:rFonts w:ascii="Times New Roman" w:eastAsia="Times New Roman" w:hAnsi="Times New Roman" w:cs="Times New Roman"/>
      <w:szCs w:val="24"/>
    </w:rPr>
  </w:style>
  <w:style w:type="character" w:customStyle="1" w:styleId="cf11">
    <w:name w:val="cf11"/>
    <w:basedOn w:val="DefaultParagraphFont"/>
    <w:rsid w:val="00CF2AC4"/>
    <w:rPr>
      <w:rFonts w:ascii="Segoe UI" w:hAnsi="Segoe UI" w:cs="Segoe UI" w:hint="default"/>
      <w:b/>
      <w:bCs/>
      <w:sz w:val="18"/>
      <w:szCs w:val="18"/>
    </w:rPr>
  </w:style>
  <w:style w:type="character" w:customStyle="1" w:styleId="cf01">
    <w:name w:val="cf01"/>
    <w:basedOn w:val="DefaultParagraphFont"/>
    <w:rsid w:val="0036537D"/>
    <w:rPr>
      <w:rFonts w:ascii="Segoe UI" w:hAnsi="Segoe UI" w:cs="Segoe UI" w:hint="default"/>
      <w:sz w:val="18"/>
      <w:szCs w:val="18"/>
    </w:rPr>
  </w:style>
  <w:style w:type="paragraph" w:customStyle="1" w:styleId="pf1">
    <w:name w:val="pf1"/>
    <w:basedOn w:val="Normal"/>
    <w:rsid w:val="0003022F"/>
    <w:pPr>
      <w:spacing w:before="100" w:beforeAutospacing="1" w:after="100" w:afterAutospacing="1" w:line="240" w:lineRule="auto"/>
    </w:pPr>
    <w:rPr>
      <w:rFonts w:ascii="Times New Roman" w:eastAsia="Times New Roman" w:hAnsi="Times New Roman" w:cs="Times New Roman"/>
      <w:szCs w:val="24"/>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1">
    <w:name w:val="a1"/>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2">
    <w:name w:val="a2"/>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3">
    <w:name w:val="a3"/>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4">
    <w:name w:val="a4"/>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7">
    <w:name w:val="a7"/>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8">
    <w:name w:val="a8"/>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9">
    <w:name w:val="a9"/>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a">
    <w:name w:val="aa"/>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b">
    <w:name w:val="ab"/>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are-act.org/library/faqs/" TargetMode="External" /><Relationship Id="rId11" Type="http://schemas.openxmlformats.org/officeDocument/2006/relationships/hyperlink" Target="https://care-act.org/resource/the-care-act-at-a-glance/" TargetMode="External" /><Relationship Id="rId12" Type="http://schemas.openxmlformats.org/officeDocument/2006/relationships/hyperlink" Target="https://care-act.org/resource/the-care-process-flow-to-treatment-housing-and-support/" TargetMode="External" /><Relationship Id="rId13" Type="http://schemas.openxmlformats.org/officeDocument/2006/relationships/hyperlink" Target="https://care-act.org/resource/care-act-eligibility-criteria-fact-sheet/" TargetMode="External" /><Relationship Id="rId14" Type="http://schemas.openxmlformats.org/officeDocument/2006/relationships/hyperlink" Target="https://care-act.org/resource/volunteer-supporter-toolkit/" TargetMode="External" /><Relationship Id="rId15" Type="http://schemas.openxmlformats.org/officeDocument/2006/relationships/hyperlink" Target="https://www.chhs.ca.gov/care-act-petitioners/"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are-act.org/resource/care-act-communications-toolkit/" TargetMode="External" /><Relationship Id="rId9" Type="http://schemas.openxmlformats.org/officeDocument/2006/relationships/hyperlink" Target="https://care-act.or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9CQ510iRtkjtK+tBO0ueQDT1A==">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</go:docsCustomData>
</go:gDocsCustomXmlDataStorage>
</file>

<file path=customXml/itemProps1.xml><?xml version="1.0" encoding="utf-8"?>
<ds:datastoreItem xmlns:ds="http://schemas.openxmlformats.org/officeDocument/2006/customXml" ds:itemID="{54DF7A93-A637-4CE4-98C3-0BD715B4D6F4}">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f9924b00-6094-46fa-9366-2f22ff063ce8"/>
    <ds:schemaRef ds:uri="d82d4412-1c8e-41ea-bb2c-7ee6667e8272"/>
    <ds:schemaRef ds:uri="http://schemas.microsoft.com/office/2006/documentManagement/types"/>
    <ds:schemaRef ds:uri="http://purl.org/dc/elements/1.1/"/>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D5F2312F-3896-46A7-9667-E1BB69B7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C573-EDA7-4014-BD2F-0986DC3D0F4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4</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44</cp:revision>
  <dcterms:created xsi:type="dcterms:W3CDTF">2024-05-07T18:38:00Z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